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102D6" w14:textId="77777777" w:rsidR="00724D64" w:rsidRPr="00724D64" w:rsidRDefault="00724D64" w:rsidP="00724D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“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Uy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sovg‘</w:t>
      </w:r>
      <w:proofErr w:type="gram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alardan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boshlanadi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” marketing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aksiyasini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o‘tkazish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qoidalari</w:t>
      </w:r>
      <w:proofErr w:type="spellEnd"/>
    </w:p>
    <w:p w14:paraId="7746A68D" w14:textId="77777777" w:rsidR="00724D64" w:rsidRPr="00724D64" w:rsidRDefault="00724D64" w:rsidP="00724D6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1.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Umumiy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qoidalar</w:t>
      </w:r>
      <w:proofErr w:type="spellEnd"/>
    </w:p>
    <w:p w14:paraId="6C70751E" w14:textId="77777777" w:rsidR="00724D64" w:rsidRPr="00724D64" w:rsidRDefault="00724D64" w:rsidP="00724D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1.1.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Ushbu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Qoidalar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“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alardan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boshlanadi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” marketing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aksiyasini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tartibi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shartlari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muddatlarini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belgilaydi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1.2.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tashkilotchisi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1.3.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muddati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: 2026-yil 20-martdan 2026-yil 20-dekabrgacha.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1.4.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bankning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kredit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mahsulotlari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savdosini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rag‘batlantirish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berilayotgan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kreditlari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hajmini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oshirish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shuningdek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yangi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mijozlarni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jalb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qilish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maqsadida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3149F084" w14:textId="77777777" w:rsidR="00724D64" w:rsidRPr="00724D64" w:rsidRDefault="00724D64" w:rsidP="00724D6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ishtirokchilari</w:t>
      </w:r>
      <w:bookmarkStart w:id="0" w:name="_GoBack"/>
      <w:bookmarkEnd w:id="0"/>
      <w:proofErr w:type="spellEnd"/>
    </w:p>
    <w:p w14:paraId="7C9CD217" w14:textId="77777777" w:rsidR="00724D64" w:rsidRPr="00724D64" w:rsidRDefault="00724D64" w:rsidP="00724D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2.1.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davrida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krediti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rasmiylashtirgan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bank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mijozlari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bo‘lgan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jismoniy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shaxslar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2.2.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18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yoshga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to‘lgan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Respublikasi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fuqarolari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2.3.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xodimlari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ularning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yaqin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qarindoshlari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shuningdek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tashkil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etishda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o‘tkazishda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shaxslar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emas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2.4.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ushbu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Qoidalarga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liq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roziligini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anglatadi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2.5.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shartlariga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rioya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qilinmagan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taqdirda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sabablarini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tushuntirmasdan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chiqarib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yuborilishi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2734A9E7" w14:textId="77777777" w:rsidR="00724D64" w:rsidRPr="00724D64" w:rsidRDefault="00724D64" w:rsidP="00724D6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3.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etish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shartlari</w:t>
      </w:r>
      <w:proofErr w:type="spellEnd"/>
    </w:p>
    <w:p w14:paraId="2A66CBFA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3.1.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mijoz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davrida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krediti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rasmiylashtirishi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tkaziladigan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sanada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muddati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qarzdorlikka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bo‘lmasligi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OFB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mobil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ilovasini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yuklab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identifikatsiyadan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44ABED1E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3.2.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Bitta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kredit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shartnomasi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yutuqda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faqat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marta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3.3.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Bitta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butun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davrida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oraliq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faqat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marta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 Shu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birga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oraliq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bosh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yutuvida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saqlab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12B473B0" w14:textId="77777777" w:rsidR="00724D64" w:rsidRPr="00724D64" w:rsidRDefault="00724D64" w:rsidP="00724D6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Yutuq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tkazish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tartibi</w:t>
      </w:r>
      <w:proofErr w:type="spellEnd"/>
    </w:p>
    <w:p w14:paraId="2FC6EDF9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4.1.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har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bosqich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yakunlari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Komissiyasi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a’zolari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DA4246C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4.2. Bosh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yutug‘ida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20.03.2026 dan 20.12.2026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quyidagi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mahsulotlar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krediti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rasmiylashtirgan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mijozlar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>• “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Oilaviy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”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>• “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Foydali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”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>• “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Ishonchli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”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>• “BASHKENT”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>• “MURAD BUILDING”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birlamchi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bozor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ikkilamchi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bozor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>• “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Qulay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refinanslash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”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>• “</w:t>
      </w:r>
      <w:proofErr w:type="spellStart"/>
      <w:r w:rsidR="0087433C" w:rsidRPr="0087433C">
        <w:rPr>
          <w:rFonts w:ascii="Arial" w:eastAsia="Times New Roman" w:hAnsi="Arial" w:cs="Arial"/>
          <w:sz w:val="24"/>
          <w:szCs w:val="24"/>
          <w:lang w:val="en-US" w:eastAsia="ru-RU"/>
        </w:rPr>
        <w:t>Qulay</w:t>
      </w:r>
      <w:proofErr w:type="spellEnd"/>
      <w:r w:rsidR="0087433C" w:rsidRPr="0087433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87433C" w:rsidRPr="0087433C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”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>• “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birlamchi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bozor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2.0”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“INVEST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ipoteka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”</w:t>
      </w:r>
    </w:p>
    <w:p w14:paraId="1D164191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Bosh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30.12.2026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1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g‘olib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9DE14BD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 xml:space="preserve">4.3.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Oraliq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bosh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yutuqlar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bosqichlar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taqsimlanadi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1-bosqich – 20.03.2026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20.05.2026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30.04.2026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2-bosqich – 21.05.2026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20.07.2026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30.06.2026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3-bosqich – 21.07.2026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20.09.2026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30.08.2026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4-bosqich – 21.09.2026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20.11.2026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30.10.2026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5-bosqich – 21.11.2026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20.12.2026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30.12.2026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y.gacha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7CE9849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Bosh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20.12.2026 — bosh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avtomobil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(1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14:paraId="2BB50BA7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Har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bosqich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yicha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g‘oliblar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ro‘yxati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bank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tomonidan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fondiga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muvofiq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belgilanadi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B8CC50E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4.4.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oliblar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Random.org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shunga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o‘xshash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tasodifiy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sonlar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generatori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4.5.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yozma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muzokaralar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aloqalarga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kirishmaslik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saqlab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nizoli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holatlar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bundan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mustasno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4.6.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ishtirokchilarning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ism-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familiyasi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fotosuratlari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materiallari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reklama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maqsadlarida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mukofotsiz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foydalanilishiga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rozilik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berishini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anglatadi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4.7.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ushbu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Qoidalarga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o‘z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xohishiga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ko‘ra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o‘zgartirish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qo‘shimchalar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kiritish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o‘zida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saqlab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bu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haqda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9B6EE4">
        <w:fldChar w:fldCharType="begin"/>
      </w:r>
      <w:r w:rsidR="009B6EE4" w:rsidRPr="00587B3F">
        <w:rPr>
          <w:lang w:val="en-US"/>
        </w:rPr>
        <w:instrText xml:space="preserve"> HYPERLINK "http://www.ofb.uz" \t "_new" </w:instrText>
      </w:r>
      <w:r w:rsidR="009B6EE4">
        <w:fldChar w:fldCharType="separate"/>
      </w:r>
      <w:r w:rsidRPr="00724D64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ru-RU"/>
        </w:rPr>
        <w:t>www.ofb.uz</w:t>
      </w:r>
      <w:r w:rsidR="009B6EE4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saytida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 (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uch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kuni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oldin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e’lon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 Bank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yxati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miqdorini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o‘zgartirish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kengaytirish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 Bank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ishtirokchilarga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liq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yuzaga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kelgan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zarar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xarajatlarni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qoplamaydi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4.8.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foydalanish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jarayonida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olibning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hayoti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sog‘lig‘iga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shuningdek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uchinchi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shaxslarning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mol-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mulkiga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sog‘lig‘iga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yetkazilgan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zarar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javobgar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emas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4.9.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Ushbu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tkazishda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yuzaga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kelishi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bo‘lgan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barcha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nizolar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o‘rtasida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o‘zaro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kelishuv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tushunish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asosida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muzokaralar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yo‘li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hal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qilinadi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Kelishuvga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erishilmagan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taqdirda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nizolar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zbekiston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Respublikasi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qonunchiligiga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muvofiq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sud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tartibida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ko‘rib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chiqiladi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4.10.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Random.org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shunga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xshash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dastur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asosiy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g‘olibni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hamda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qo‘shimcha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ravishda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 ta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zaxira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nomzodni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aniqlaydi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4.11.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Asosiy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olishdan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bosh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tortgan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belgilangan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muddatda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olmagan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taqdirda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birinchi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zaxira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nomzodga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beriladi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Birinchi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zaxira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nomzod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ham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olishdan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bosh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tortgan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taqdirda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ikkinchi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zaxira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nomzodga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beriladi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4.12. Agar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asosiy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ikki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zaxira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nomzod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olishdan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bosh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tortsa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olmasa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Komissiya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qaroriga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ko‘ra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muqobil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g‘olib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4.13. Agar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muqobil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aniqlash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natijasida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ham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berilmasa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Tashkilotchi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topshirilgunga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qadar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shimcha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yutuq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o‘tkazish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o‘zida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saqlab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natijalari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Komissiya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bayonnomasi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tuziladi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barcha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a’zolar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tomonidan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imzolanadi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42709D8D" w14:textId="77777777" w:rsidR="00724D64" w:rsidRPr="00724D64" w:rsidRDefault="00724D64" w:rsidP="00724D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4.14.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oliblarning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ismlari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rasmiy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saytida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e’lon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qilinadi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shuningdek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OAV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ijtimoiy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tarmoqlarda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joylashtirilishi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4.15.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oliblarga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tomonidan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SMS-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xabarnoma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yuboriladi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kredit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rasmiylashtirilgan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telefon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raqami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bog‘laniladi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4.16.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tomonidan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shartlariga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rioya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qilinmagan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oqibatlar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Tashkilotchi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javobgar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emas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559008A" w14:textId="77777777" w:rsidR="00724D64" w:rsidRPr="00724D64" w:rsidRDefault="00724D64" w:rsidP="00724D6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5.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Sovrinlar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fondi</w:t>
      </w:r>
      <w:proofErr w:type="spellEnd"/>
    </w:p>
    <w:p w14:paraId="7276918F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 xml:space="preserve">5.1.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fondi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mablag‘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hisobidan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shakllantiriladi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5.2.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doirasida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quyidagilar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nazarda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tutilgan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bosh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BYD YUAN UP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avtomobili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oraliq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maishiy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texnika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elektronika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Samsung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muzlatkich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10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dona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Kir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yuvish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mashinasi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avtomat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10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dona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Samsung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televizor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10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dona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Changyutgich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10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dona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Dyson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havo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tozalagich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10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dona</w:t>
      </w:r>
      <w:proofErr w:type="spellEnd"/>
    </w:p>
    <w:p w14:paraId="49BB1CA6" w14:textId="77777777" w:rsidR="00724D64" w:rsidRPr="00724D64" w:rsidRDefault="00724D64" w:rsidP="00724D64">
      <w:pPr>
        <w:spacing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5.3.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Sovrinlarning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aniq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yxati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tomonidan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belgilanadi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5.4.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Sovrinlarning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pul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ekvivalenti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ishtirokchilariga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lanmaydi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2A46F654" w14:textId="77777777" w:rsidR="00724D64" w:rsidRPr="00724D64" w:rsidRDefault="00724D64" w:rsidP="00724D64">
      <w:pPr>
        <w:spacing w:before="100" w:before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6.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Aksiyani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tkazish</w:t>
      </w:r>
      <w:proofErr w:type="spellEnd"/>
    </w:p>
    <w:p w14:paraId="7F64CF2D" w14:textId="77777777" w:rsidR="00724D64" w:rsidRPr="00724D64" w:rsidRDefault="00724D64" w:rsidP="00724D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6.1.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yozma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muzokaralarga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aloqalarga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kirishmaslik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saqlab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nizoli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holatlar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bundan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mustasno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6.2.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ishtirokchilarning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ism-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familiyasi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fotosuratlari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materiallaridan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reklama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axborot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maqsadlarida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mukofotsiz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foydalanilishiga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roziligini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anglatadi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6.3.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ushbu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Qoidalarga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zgartirish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qo‘shimchalar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kiritish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bu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haqda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9B6EE4">
        <w:fldChar w:fldCharType="begin"/>
      </w:r>
      <w:r w:rsidR="009B6EE4" w:rsidRPr="00587B3F">
        <w:rPr>
          <w:lang w:val="en-US"/>
        </w:rPr>
        <w:instrText xml:space="preserve"> HYPERLINK "http://www.ofb.uz" \t "_new" </w:instrText>
      </w:r>
      <w:r w:rsidR="009B6EE4">
        <w:fldChar w:fldCharType="separate"/>
      </w:r>
      <w:r w:rsidRPr="00724D64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ru-RU"/>
        </w:rPr>
        <w:t>www.ofb.uz</w:t>
      </w:r>
      <w:r w:rsidR="009B6EE4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rasmiy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saytida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kamida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kuni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oldin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e’lon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6.4.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yxati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miqdorini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o‘zgartirish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kengaytirish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6.5.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tkazish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jarayonida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yuzaga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kelgan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barcha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nizolar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muzokaralar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yo‘li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kelishuvga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erishilmagan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taqdirda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esa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Respublikasi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qonunchiligiga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muvofiq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sud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tartibida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hal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qilinadi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96CE94E" w14:textId="77777777" w:rsidR="00724D64" w:rsidRPr="00724D64" w:rsidRDefault="00724D64" w:rsidP="00724D6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7.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Sovrinlarni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olish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tartibi</w:t>
      </w:r>
      <w:proofErr w:type="spellEnd"/>
    </w:p>
    <w:p w14:paraId="423F4E32" w14:textId="77777777" w:rsidR="00724D64" w:rsidRPr="00724D64" w:rsidRDefault="00724D64" w:rsidP="00724D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7.1.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quyidagi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manzilda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beriladi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Toshkent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shahri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Osiyo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chasi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5,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bankning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bo‘limida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7.2.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pasportining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asl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nusxasini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shart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7.3.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topshirilishi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qabul-topshirish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dalolatnomasi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rasmiylashtiriladi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7.4.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egalik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topshirilgan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paytdan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boshlab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olibga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o‘tadi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7.5.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Sovrinlar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topshirilishi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ommaviy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tadbir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shaklida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OAV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tkazilishi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11A7AD7B" w14:textId="77777777" w:rsidR="00724D64" w:rsidRPr="00724D64" w:rsidRDefault="00724D64" w:rsidP="00724D6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8.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Ishtirokchilarni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xabardor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qilish</w:t>
      </w:r>
      <w:proofErr w:type="spellEnd"/>
    </w:p>
    <w:p w14:paraId="68B70EF0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8.1.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ishtirokchilarini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xabardor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qilish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quyidagi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yo‘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llar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amalga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oshiriladi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reklama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materiallarini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joylashtirish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bank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ijtimoiy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tarmoqlarida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e’lon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qilish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• bank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rasmiy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saytida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joylashtirish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1C5036C" w14:textId="77777777" w:rsidR="00724D64" w:rsidRPr="00724D64" w:rsidRDefault="00724D64" w:rsidP="00724D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8.2.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Batafsil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ma’lumot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9B6EE4">
        <w:fldChar w:fldCharType="begin"/>
      </w:r>
      <w:r w:rsidR="009B6EE4" w:rsidRPr="00587B3F">
        <w:rPr>
          <w:lang w:val="en-US"/>
        </w:rPr>
        <w:instrText xml:space="preserve"> HYPERLINK "http://www.ofb.uz" \t "_new" </w:instrText>
      </w:r>
      <w:r w:rsidR="009B6EE4">
        <w:fldChar w:fldCharType="separate"/>
      </w:r>
      <w:r w:rsidRPr="00724D64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ru-RU"/>
        </w:rPr>
        <w:t>www.ofb.uz</w:t>
      </w:r>
      <w:r w:rsidR="009B6EE4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saytida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joylashtiriladi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8.3.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shimcha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ma’lumotni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bankning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ishonch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telefoni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olish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: (+998 71) 200-88-99, 4004.</w:t>
      </w:r>
    </w:p>
    <w:p w14:paraId="0E213834" w14:textId="77777777" w:rsidR="00724D64" w:rsidRPr="00724D64" w:rsidRDefault="00724D64" w:rsidP="00724D6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9.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Yakuniy</w:t>
      </w:r>
      <w:proofErr w:type="spellEnd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qoidalar</w:t>
      </w:r>
      <w:proofErr w:type="spellEnd"/>
    </w:p>
    <w:p w14:paraId="2B75E0EF" w14:textId="77777777" w:rsidR="005C0859" w:rsidRPr="00724D64" w:rsidRDefault="00724D64" w:rsidP="00724D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9.1. XATB Orient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ushbu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Qoidalarga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zgartirish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qo‘shimchalar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kiritish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huquqini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o‘zida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saqlab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qoladi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9.2.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ishtirokchining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z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ism-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familiyasi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fotosuratlari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ma’lumotlaridan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reklama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maqsadida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foydalanishga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roziligini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anglatadi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24D64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r w:rsidRPr="00724D64">
        <w:rPr>
          <w:rFonts w:ascii="Arial" w:eastAsia="Times New Roman" w:hAnsi="Arial" w:cs="Arial"/>
          <w:sz w:val="24"/>
          <w:szCs w:val="24"/>
          <w:lang w:eastAsia="ru-RU"/>
        </w:rPr>
        <w:t xml:space="preserve">9.3.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eastAsia="ru-RU"/>
        </w:rPr>
        <w:t>Barcha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eastAsia="ru-RU"/>
        </w:rPr>
        <w:t>nizolar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eastAsia="ru-RU"/>
        </w:rPr>
        <w:t>O‘zbekiston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eastAsia="ru-RU"/>
        </w:rPr>
        <w:t>Respublikasi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eastAsia="ru-RU"/>
        </w:rPr>
        <w:t>qonunchiligiga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eastAsia="ru-RU"/>
        </w:rPr>
        <w:t>muvofiq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eastAsia="ru-RU"/>
        </w:rPr>
        <w:t>hal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24D64">
        <w:rPr>
          <w:rFonts w:ascii="Arial" w:eastAsia="Times New Roman" w:hAnsi="Arial" w:cs="Arial"/>
          <w:sz w:val="24"/>
          <w:szCs w:val="24"/>
          <w:lang w:eastAsia="ru-RU"/>
        </w:rPr>
        <w:t>qilinadi</w:t>
      </w:r>
      <w:proofErr w:type="spellEnd"/>
      <w:r w:rsidRPr="00724D6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5C0859" w:rsidRPr="00724D64" w:rsidSect="00587B3F">
      <w:pgSz w:w="11906" w:h="16838"/>
      <w:pgMar w:top="851" w:right="850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AD87E" w14:textId="77777777" w:rsidR="009B6EE4" w:rsidRDefault="009B6EE4" w:rsidP="00724D64">
      <w:pPr>
        <w:spacing w:after="0" w:line="240" w:lineRule="auto"/>
      </w:pPr>
      <w:r>
        <w:separator/>
      </w:r>
    </w:p>
  </w:endnote>
  <w:endnote w:type="continuationSeparator" w:id="0">
    <w:p w14:paraId="574CB242" w14:textId="77777777" w:rsidR="009B6EE4" w:rsidRDefault="009B6EE4" w:rsidP="0072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D171D" w14:textId="77777777" w:rsidR="009B6EE4" w:rsidRDefault="009B6EE4" w:rsidP="00724D64">
      <w:pPr>
        <w:spacing w:after="0" w:line="240" w:lineRule="auto"/>
      </w:pPr>
      <w:r>
        <w:separator/>
      </w:r>
    </w:p>
  </w:footnote>
  <w:footnote w:type="continuationSeparator" w:id="0">
    <w:p w14:paraId="51848ED7" w14:textId="77777777" w:rsidR="009B6EE4" w:rsidRDefault="009B6EE4" w:rsidP="00724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64"/>
    <w:rsid w:val="00084E0F"/>
    <w:rsid w:val="00587B3F"/>
    <w:rsid w:val="005C0859"/>
    <w:rsid w:val="00724D64"/>
    <w:rsid w:val="0087433C"/>
    <w:rsid w:val="009B6EE4"/>
    <w:rsid w:val="00C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E875D-D624-45B6-AD24-2929D58C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4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4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D64"/>
    <w:rPr>
      <w:b/>
      <w:bCs/>
    </w:rPr>
  </w:style>
  <w:style w:type="character" w:styleId="a5">
    <w:name w:val="Hyperlink"/>
    <w:basedOn w:val="a0"/>
    <w:uiPriority w:val="99"/>
    <w:semiHidden/>
    <w:unhideWhenUsed/>
    <w:rsid w:val="00724D6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2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D64"/>
  </w:style>
  <w:style w:type="paragraph" w:styleId="a8">
    <w:name w:val="footer"/>
    <w:basedOn w:val="a"/>
    <w:link w:val="a9"/>
    <w:uiPriority w:val="99"/>
    <w:unhideWhenUsed/>
    <w:rsid w:val="0072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5C408-5795-4ED7-8476-78896C85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Зиёда Сахиева</dc:creator>
  <cp:keywords/>
  <dc:description/>
  <cp:lastModifiedBy>Шохрух Рустамжонов</cp:lastModifiedBy>
  <cp:revision>2</cp:revision>
  <dcterms:created xsi:type="dcterms:W3CDTF">2026-03-24T06:44:00Z</dcterms:created>
  <dcterms:modified xsi:type="dcterms:W3CDTF">2026-03-24T09:28:00Z</dcterms:modified>
</cp:coreProperties>
</file>