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11996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5B4B7877" w14:textId="77777777" w:rsidR="00AF5F2A" w:rsidRPr="00AF5F2A" w:rsidRDefault="00AF5F2A" w:rsidP="00AF5F2A">
      <w:pPr>
        <w:shd w:val="clear" w:color="auto" w:fill="FFFFFF"/>
        <w:jc w:val="center"/>
        <w:rPr>
          <w:rFonts w:eastAsia="Times New Roman"/>
          <w:b/>
          <w:bCs/>
          <w:color w:val="000080"/>
          <w:lang w:val="en-US"/>
        </w:rPr>
      </w:pPr>
      <w:proofErr w:type="spellStart"/>
      <w:r w:rsidRPr="00AF5F2A">
        <w:rPr>
          <w:rFonts w:eastAsia="Times New Roman"/>
          <w:b/>
          <w:bCs/>
          <w:color w:val="000080"/>
          <w:lang w:val="en-US"/>
        </w:rPr>
        <w:t>Muddatli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omonatning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asosiy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shartlari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toʻgʻrisidagi</w:t>
      </w:r>
      <w:proofErr w:type="spellEnd"/>
      <w:r w:rsidRPr="00AF5F2A">
        <w:rPr>
          <w:rFonts w:eastAsia="Times New Roman"/>
          <w:b/>
          <w:bCs/>
          <w:color w:val="000080"/>
          <w:lang w:val="en-US"/>
        </w:rPr>
        <w:t xml:space="preserve"> </w:t>
      </w:r>
      <w:proofErr w:type="spellStart"/>
      <w:r w:rsidRPr="00AF5F2A">
        <w:rPr>
          <w:rFonts w:eastAsia="Times New Roman"/>
          <w:b/>
          <w:bCs/>
          <w:color w:val="000080"/>
          <w:lang w:val="en-US"/>
        </w:rPr>
        <w:t>axborot</w:t>
      </w:r>
      <w:proofErr w:type="spellEnd"/>
    </w:p>
    <w:p w14:paraId="795949C4" w14:textId="77777777" w:rsidR="00AF5F2A" w:rsidRDefault="00AF5F2A" w:rsidP="00AF5F2A">
      <w:pPr>
        <w:shd w:val="clear" w:color="auto" w:fill="FFFFFF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VARAQASI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462"/>
        <w:gridCol w:w="462"/>
        <w:gridCol w:w="462"/>
        <w:gridCol w:w="462"/>
        <w:gridCol w:w="462"/>
        <w:gridCol w:w="462"/>
        <w:gridCol w:w="462"/>
        <w:gridCol w:w="461"/>
        <w:gridCol w:w="461"/>
        <w:gridCol w:w="233"/>
        <w:gridCol w:w="108"/>
        <w:gridCol w:w="210"/>
        <w:gridCol w:w="66"/>
        <w:gridCol w:w="586"/>
        <w:gridCol w:w="66"/>
        <w:gridCol w:w="565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210"/>
        <w:gridCol w:w="457"/>
      </w:tblGrid>
      <w:tr w:rsidR="008B715C" w14:paraId="63348E6D" w14:textId="77777777" w:rsidTr="0091430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6FCA8D" w14:textId="77777777" w:rsidR="00AF5F2A" w:rsidRDefault="00AF5F2A" w:rsidP="003D2236">
            <w:pPr>
              <w:shd w:val="clear" w:color="auto" w:fill="FFFFFF"/>
              <w:jc w:val="center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BA883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08B61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43D8F5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B06B99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1C9D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D33E4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09BAA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4B93B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6F43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8510E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E656E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A0551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ED8B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1FE53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AA32D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C6C7E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92D8C5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6F00C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7EFF69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191C7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964BE7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ECBE6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50DB4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1F8B0D8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A532F2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A05E1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B462252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9F83B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E8C30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B715C" w:rsidRPr="00D62050" w14:paraId="01847620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48D851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Tijorat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bankining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</w:p>
          <w:p w14:paraId="6F9F8AC4" w14:textId="77777777" w:rsidR="00357CDB" w:rsidRDefault="00357CDB" w:rsidP="003D2236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veb-sayti</w:t>
            </w:r>
            <w:proofErr w:type="spellEnd"/>
          </w:p>
          <w:p w14:paraId="569B7E68" w14:textId="77777777" w:rsidR="00AF5F2A" w:rsidRPr="00AF5F2A" w:rsidRDefault="00357CDB" w:rsidP="003D2236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F5F2A"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raqamlari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4D49B4" w14:textId="77777777" w:rsidR="00357CDB" w:rsidRPr="00357CDB" w:rsidRDefault="00357CDB" w:rsidP="008B715C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</w:t>
            </w:r>
            <w:proofErr w:type="spellStart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Finans</w:t>
            </w:r>
            <w:proofErr w:type="spellEnd"/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” XATB</w:t>
            </w:r>
          </w:p>
          <w:p w14:paraId="7E1143C5" w14:textId="77777777" w:rsidR="00357CDB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7761E469" w14:textId="79948736" w:rsidR="00AF5F2A" w:rsidRPr="008B715C" w:rsidRDefault="00357CDB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4004, 71-205-55-55 </w:t>
            </w:r>
          </w:p>
        </w:tc>
      </w:tr>
      <w:tr w:rsidR="00AF5F2A" w14:paraId="10A0B1E5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1B46558" w14:textId="77777777" w:rsidR="00AF5F2A" w:rsidRPr="008B715C" w:rsidRDefault="00AF5F2A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333333"/>
                <w:sz w:val="20"/>
                <w:szCs w:val="20"/>
              </w:rPr>
              <w:t>1-boʻlim. Om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onatning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asosiy</w:t>
            </w:r>
            <w:proofErr w:type="spellEnd"/>
            <w:r w:rsidRPr="008B715C">
              <w:rPr>
                <w:rStyle w:val="a3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333333"/>
                <w:sz w:val="20"/>
                <w:szCs w:val="20"/>
              </w:rPr>
              <w:t>shartlari</w:t>
            </w:r>
            <w:proofErr w:type="spellEnd"/>
          </w:p>
        </w:tc>
      </w:tr>
      <w:tr w:rsidR="008B715C" w14:paraId="477B9ADC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D563B9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5F9FA0" w14:textId="6CFD00F3" w:rsidR="00AF5F2A" w:rsidRPr="00B74A41" w:rsidRDefault="00B74A41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uz-Cyrl-UZ"/>
              </w:rPr>
            </w:pPr>
            <w:r w:rsidRPr="00B74A41">
              <w:rPr>
                <w:rFonts w:eastAsia="Times New Roman"/>
                <w:color w:val="000000"/>
                <w:sz w:val="20"/>
                <w:szCs w:val="20"/>
              </w:rPr>
              <w:t xml:space="preserve">OFB 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“</w:t>
            </w:r>
            <w:r w:rsidR="00D62050"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Miracle</w:t>
            </w:r>
            <w:r>
              <w:rPr>
                <w:rFonts w:eastAsia="Times New Roman"/>
                <w:color w:val="000000"/>
                <w:sz w:val="20"/>
                <w:szCs w:val="20"/>
                <w:lang w:val="uz-Cyrl-UZ"/>
              </w:rPr>
              <w:t>”</w:t>
            </w:r>
          </w:p>
        </w:tc>
      </w:tr>
      <w:tr w:rsidR="008B715C" w14:paraId="769D710A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BF0CCAD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valyutasi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FE8F220" w14:textId="4BD37281" w:rsidR="00AF5F2A" w:rsidRPr="006C16AD" w:rsidRDefault="006C16AD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AQSh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33D03">
              <w:rPr>
                <w:rFonts w:eastAsia="Times New Roman"/>
                <w:color w:val="000000"/>
                <w:sz w:val="20"/>
                <w:szCs w:val="20"/>
                <w:lang w:val="en-US"/>
              </w:rPr>
              <w:t>d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ollari</w:t>
            </w:r>
            <w:proofErr w:type="spellEnd"/>
          </w:p>
        </w:tc>
      </w:tr>
      <w:tr w:rsidR="008B715C" w:rsidRPr="008B715C" w14:paraId="2AF9C00A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68E69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boʻyicha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yillik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stavkasi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agar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boʻyicha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yillik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foiz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stavkasi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differensiallashgan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usuliga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bogʻliq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boʻlsa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har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biri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alohida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koʻrsatiladi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921CB3" w14:textId="77777777" w:rsidR="006C16AD" w:rsidRPr="00C15049" w:rsidRDefault="006C16AD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5763CE9A" w14:textId="2A26A874" w:rsidR="00AF5F2A" w:rsidRPr="008B715C" w:rsidRDefault="00D62050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  <w:r w:rsidR="00DB6017">
              <w:rPr>
                <w:rFonts w:eastAsia="Times New Roman"/>
                <w:color w:val="000000"/>
                <w:sz w:val="20"/>
                <w:szCs w:val="20"/>
                <w:lang w:val="en-US"/>
              </w:rPr>
              <w:t>,5</w:t>
            </w:r>
            <w:r w:rsidR="008B715C" w:rsidRP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>%</w:t>
            </w:r>
          </w:p>
        </w:tc>
      </w:tr>
      <w:tr w:rsidR="008B715C" w14:paraId="73C66C63" w14:textId="77777777" w:rsidTr="00914304">
        <w:trPr>
          <w:trHeight w:val="635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490E28" w14:textId="77777777" w:rsidR="00AF5F2A" w:rsidRPr="00C15049" w:rsidRDefault="00AF5F2A" w:rsidP="003D2236">
            <w:pPr>
              <w:rPr>
                <w:rFonts w:eastAsia="Times New Roman"/>
                <w:color w:val="000000"/>
              </w:rPr>
            </w:pPr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yicha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kapitalizatsiyasi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mavjudligi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hisoblangan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foizni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ga</w:t>
            </w:r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>ʻ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shib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hisoblash</w:t>
            </w:r>
            <w:proofErr w:type="spellEnd"/>
            <w:r w:rsidRPr="00C15049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E55869" w14:textId="77777777" w:rsidR="00C15049" w:rsidRDefault="00C15049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6FB0FC28" w14:textId="4806E0A8" w:rsidR="00AF5F2A" w:rsidRPr="008B715C" w:rsidRDefault="008B715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14:paraId="0339A2CF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E38F47F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088096" w14:textId="6F72309F" w:rsidR="00AF5F2A" w:rsidRPr="008B715C" w:rsidRDefault="006A161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288</w:t>
            </w:r>
            <w:r w:rsidR="005B490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5B490E"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</w:t>
            </w:r>
            <w:proofErr w:type="spellEnd"/>
          </w:p>
        </w:tc>
      </w:tr>
      <w:tr w:rsidR="008B715C" w:rsidRPr="00AF5F2A" w14:paraId="0E34CA3D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278809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qoʻyiladigan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mablagʻning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eng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kam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miqdori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(agar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9A9AE2" w14:textId="32483F73" w:rsidR="00AF5F2A" w:rsidRPr="008B715C" w:rsidRDefault="006A161C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  <w:r w:rsidR="00D62050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500 000</w:t>
            </w:r>
            <w:r w:rsidR="008B715C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,00 </w:t>
            </w:r>
            <w:proofErr w:type="spellStart"/>
            <w:r w:rsidR="006C16AD">
              <w:rPr>
                <w:rFonts w:eastAsia="Times New Roman"/>
                <w:color w:val="000000"/>
                <w:sz w:val="20"/>
                <w:szCs w:val="20"/>
                <w:lang w:val="en-US"/>
              </w:rPr>
              <w:t>AQSh</w:t>
            </w:r>
            <w:proofErr w:type="spellEnd"/>
            <w:r w:rsidR="006C16AD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23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d</w:t>
            </w:r>
            <w:r w:rsidR="006C16AD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ollari</w:t>
            </w:r>
            <w:proofErr w:type="spellEnd"/>
          </w:p>
        </w:tc>
      </w:tr>
      <w:tr w:rsidR="008B715C" w:rsidRPr="00D62050" w14:paraId="2D16DCB3" w14:textId="77777777" w:rsidTr="00914304">
        <w:trPr>
          <w:trHeight w:val="315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3F3C7C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toʻlash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davriyligi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002EFA" w14:textId="2BEA6D59" w:rsidR="00AF5F2A" w:rsidRPr="008B715C" w:rsidRDefault="00C15049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har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oyda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(30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kundan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Pr="00E573FA">
              <w:rPr>
                <w:rFonts w:eastAsia="Times New Roman"/>
                <w:color w:val="000000"/>
                <w:sz w:val="20"/>
                <w:szCs w:val="20"/>
                <w:lang w:val="en-US"/>
              </w:rPr>
              <w:t>ʻ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</w:tr>
      <w:tr w:rsidR="008B715C" w:rsidRPr="00AF5F2A" w14:paraId="35979F09" w14:textId="77777777" w:rsidTr="00914304">
        <w:trPr>
          <w:trHeight w:val="661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11D9B7D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8. O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monatni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rasmiylashtirish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usuli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onlayn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  <w:r w:rsidRPr="00AF5F2A">
              <w:rPr>
                <w:rFonts w:eastAsia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7E2E9CB" w14:textId="77777777" w:rsidR="00DB6017" w:rsidRDefault="00DB6017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672FF35A" w14:textId="77777777" w:rsidR="00AF5F2A" w:rsidRPr="008B715C" w:rsidRDefault="00DB6017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B</w:t>
            </w: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ankka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tashrif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buyurish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orqali</w:t>
            </w:r>
            <w:proofErr w:type="spellEnd"/>
          </w:p>
        </w:tc>
      </w:tr>
      <w:tr w:rsidR="008B715C" w:rsidRPr="00114AD6" w14:paraId="5B179B54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BCDFDC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Qoʻshimcha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kiritish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E4A841" w14:textId="77777777" w:rsidR="00AF5F2A" w:rsidRPr="00114AD6" w:rsidRDefault="006C16AD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AF5F2A" w14:paraId="1BB6E31C" w14:textId="77777777" w:rsidTr="00914304">
        <w:trPr>
          <w:trHeight w:val="734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AEDDED" w14:textId="77777777" w:rsidR="00AF5F2A" w:rsidRPr="00AF5F2A" w:rsidRDefault="00AF5F2A" w:rsidP="003D2236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Avtouzaytirish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tugaganda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bank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bir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tomonlama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uzaytirish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84A2F7" w14:textId="77777777" w:rsidR="005B490E" w:rsidRPr="00C15049" w:rsidRDefault="005B490E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396CBDB7" w14:textId="77777777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8B715C" w:rsidRPr="00114AD6" w14:paraId="4AB6E727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33638A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shartlar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7E9215" w14:textId="77777777" w:rsidR="00AF5F2A" w:rsidRPr="00114AD6" w:rsidRDefault="005B490E" w:rsidP="005B490E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5B490E">
              <w:rPr>
                <w:rFonts w:eastAsia="Times New Roman"/>
                <w:color w:val="000000"/>
                <w:sz w:val="20"/>
                <w:szCs w:val="20"/>
              </w:rPr>
              <w:t xml:space="preserve">       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mablag‘i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qabul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qilish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pulda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kartochka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boshqa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tuggan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mablag‘ini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qayta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orqali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amalga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oshiriladi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sumasini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qaytarish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tugaganidan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keyin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rasmiylashtirish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shartidan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kelib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chiqqan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holda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naqd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yoki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plastik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kartochkaga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valyutasida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qaytariladi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tugaganidan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gramEnd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ng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olinmagan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taqdirda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talab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olinguncha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omonatlar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hisobraqamiga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</w:t>
            </w:r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‘</w:t>
            </w:r>
            <w:proofErr w:type="spellStart"/>
            <w:r w:rsidR="00114AD6"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tkaziladi</w:t>
            </w:r>
            <w:proofErr w:type="spellEnd"/>
            <w:r w:rsidR="00114AD6" w:rsidRPr="00114AD6">
              <w:rPr>
                <w:rFonts w:eastAsia="Times New Roman"/>
                <w:color w:val="000000"/>
                <w:sz w:val="20"/>
                <w:szCs w:val="20"/>
              </w:rPr>
              <w:t>.</w:t>
            </w:r>
          </w:p>
        </w:tc>
      </w:tr>
      <w:tr w:rsidR="00AF5F2A" w14:paraId="4017222B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E8D7F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rStyle w:val="a3"/>
                <w:color w:val="000000"/>
                <w:sz w:val="20"/>
                <w:szCs w:val="20"/>
              </w:rPr>
              <w:t xml:space="preserve">2-boʻlim.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Boshqa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muhim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</w:rPr>
              <w:t>shartlar</w:t>
            </w:r>
            <w:proofErr w:type="spellEnd"/>
          </w:p>
        </w:tc>
      </w:tr>
      <w:tr w:rsidR="008B715C" w14:paraId="546025F3" w14:textId="77777777" w:rsidTr="00914304">
        <w:trPr>
          <w:trHeight w:val="577"/>
        </w:trPr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6AE13" w14:textId="77777777" w:rsidR="00AF5F2A" w:rsidRDefault="00AF5F2A" w:rsidP="003D223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qoʻyilgan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pul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mablagʻlarini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omonat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muddati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tugagunga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qadar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qisman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yechib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olish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imkoniyatining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mavjudligi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D102AB" w14:textId="77777777" w:rsidR="00AF5F2A" w:rsidRPr="008B715C" w:rsidRDefault="00114AD6" w:rsidP="008B715C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Mavjud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emas</w:t>
            </w:r>
            <w:proofErr w:type="spellEnd"/>
          </w:p>
        </w:tc>
      </w:tr>
      <w:tr w:rsidR="005B490E" w:rsidRPr="00D62050" w14:paraId="17A9D97E" w14:textId="77777777" w:rsidTr="00914304">
        <w:tc>
          <w:tcPr>
            <w:tcW w:w="2505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9CAE3A" w14:textId="77777777" w:rsidR="005B490E" w:rsidRPr="00AF5F2A" w:rsidRDefault="005B490E" w:rsidP="005B490E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shartnomasini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bekor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qilish</w:t>
            </w:r>
            <w:proofErr w:type="spellEnd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</w:p>
        </w:tc>
        <w:tc>
          <w:tcPr>
            <w:tcW w:w="249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D49D78" w14:textId="77777777" w:rsidR="005B490E" w:rsidRPr="00114AD6" w:rsidRDefault="005B490E" w:rsidP="005B490E">
            <w:pPr>
              <w:tabs>
                <w:tab w:val="left" w:pos="430"/>
              </w:tabs>
              <w:jc w:val="both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      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Omonatchi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muddatidan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talab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olganda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omonatga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</w:t>
            </w:r>
            <w:proofErr w:type="gram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lanmaydi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avval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to‘langan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foizlar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qayta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hisob-kitob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qilinadi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asosiy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summasidan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ushlab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qolinadi</w:t>
            </w:r>
            <w:proofErr w:type="spellEnd"/>
            <w:r w:rsidRPr="00114AD6">
              <w:rPr>
                <w:rFonts w:eastAsia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D62050" w14:paraId="0515D83F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096288" w14:textId="77777777" w:rsidR="00AF5F2A" w:rsidRPr="008B715C" w:rsidRDefault="00AF5F2A" w:rsidP="008B715C">
            <w:pPr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AF5F2A" w:rsidRPr="00D62050" w14:paraId="026A09F8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159E63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qoʻyishga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rozi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boʻlishdan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oldin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diqqat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bilan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oʻrganib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chiqing</w:t>
            </w:r>
            <w:proofErr w:type="spellEnd"/>
            <w:r w:rsidRPr="008B715C">
              <w:rPr>
                <w:rStyle w:val="a3"/>
                <w:color w:val="000000"/>
                <w:sz w:val="20"/>
                <w:szCs w:val="20"/>
                <w:lang w:val="en-US"/>
              </w:rPr>
              <w:t>!</w:t>
            </w:r>
          </w:p>
        </w:tc>
      </w:tr>
      <w:tr w:rsidR="00AF5F2A" w:rsidRPr="00D62050" w14:paraId="487566E5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90D25F1" w14:textId="77777777" w:rsidR="00AF5F2A" w:rsidRPr="008B715C" w:rsidRDefault="00AF5F2A" w:rsidP="008B715C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shartlari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omonat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boʻyicha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foiz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daromadlari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hisob-kitoblar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tartibi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toʻgʻrisida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shuningdek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huquqlaringiz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majburiyatlaringiz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tushunarsiz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boʻlgan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boshqa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masalalar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yuzasidan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bankdan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toʻliq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va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batafsil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maʼlumot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olishga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haqlisiz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  <w:tr w:rsidR="00AF5F2A" w:rsidRPr="00D62050" w14:paraId="24A389E0" w14:textId="77777777" w:rsidTr="008B715C">
        <w:tc>
          <w:tcPr>
            <w:tcW w:w="5000" w:type="pct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F92F97" w14:textId="77777777" w:rsidR="00AF5F2A" w:rsidRPr="008B715C" w:rsidRDefault="00AF5F2A" w:rsidP="008B715C">
            <w:pPr>
              <w:spacing w:after="24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Agar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shikoyatlar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mavjud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boʻlsa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, u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holda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Siz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murojaatingizni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raqamli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telefonga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yoki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pochtasi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koʻrsatiladi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elektron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manzilga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joʻnatishingiz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B715C">
              <w:rPr>
                <w:color w:val="000000"/>
                <w:sz w:val="20"/>
                <w:szCs w:val="20"/>
                <w:lang w:val="en-US"/>
              </w:rPr>
              <w:t>mumkin</w:t>
            </w:r>
            <w:proofErr w:type="spellEnd"/>
            <w:r w:rsidRPr="008B715C">
              <w:rPr>
                <w:color w:val="000000"/>
                <w:sz w:val="20"/>
                <w:szCs w:val="20"/>
                <w:lang w:val="en-US"/>
              </w:rPr>
              <w:t>.</w:t>
            </w:r>
          </w:p>
        </w:tc>
      </w:tr>
    </w:tbl>
    <w:p w14:paraId="60235753" w14:textId="77777777" w:rsidR="00AF6782" w:rsidRPr="006A161C" w:rsidRDefault="00AF6782">
      <w:pPr>
        <w:rPr>
          <w:lang w:val="en-US"/>
        </w:rPr>
      </w:pPr>
    </w:p>
    <w:sectPr w:rsidR="00AF6782" w:rsidRPr="006A161C" w:rsidSect="00357CDB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114AD6"/>
    <w:rsid w:val="00123AD6"/>
    <w:rsid w:val="00357CDB"/>
    <w:rsid w:val="004C782C"/>
    <w:rsid w:val="00533D03"/>
    <w:rsid w:val="00550B4A"/>
    <w:rsid w:val="005B490E"/>
    <w:rsid w:val="006A161C"/>
    <w:rsid w:val="006C16AD"/>
    <w:rsid w:val="007932B8"/>
    <w:rsid w:val="008B715C"/>
    <w:rsid w:val="00914304"/>
    <w:rsid w:val="00953D0B"/>
    <w:rsid w:val="00A277A7"/>
    <w:rsid w:val="00A37E77"/>
    <w:rsid w:val="00A8121C"/>
    <w:rsid w:val="00AF5F2A"/>
    <w:rsid w:val="00AF6782"/>
    <w:rsid w:val="00B74A41"/>
    <w:rsid w:val="00BE3F89"/>
    <w:rsid w:val="00C15049"/>
    <w:rsid w:val="00D0066A"/>
    <w:rsid w:val="00D62050"/>
    <w:rsid w:val="00DB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4C4E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Ясмина Ходжиева</cp:lastModifiedBy>
  <cp:revision>2</cp:revision>
  <dcterms:created xsi:type="dcterms:W3CDTF">2026-05-07T10:00:00Z</dcterms:created>
  <dcterms:modified xsi:type="dcterms:W3CDTF">2026-05-07T10:00:00Z</dcterms:modified>
</cp:coreProperties>
</file>